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4"/>
        <w:keepNext w:val="false"/>
        <w:widowControl w:val="false"/>
        <w:spacing w:lineRule="auto" w:line="36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ab/>
        <w:tab/>
        <w:tab/>
        <w:tab/>
        <w:tab/>
        <w:t>Załącznik nr 6 do SWZ</w:t>
      </w:r>
    </w:p>
    <w:p>
      <w:pPr>
        <w:pStyle w:val="Normal"/>
        <w:rPr/>
      </w:pPr>
      <w:r>
        <w:rPr/>
      </w:r>
    </w:p>
    <w:p>
      <w:pPr>
        <w:pStyle w:val="Nagwek4"/>
        <w:keepNext w:val="false"/>
        <w:widowControl w:val="false"/>
        <w:spacing w:lineRule="auto" w:line="36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Umowa ramowa nr ………………………….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kern w:val="2"/>
          <w:lang w:eastAsia="zh-CN"/>
        </w:rPr>
      </w:pPr>
      <w:r>
        <w:rPr>
          <w:rFonts w:cs="Calibri" w:ascii="Calibri" w:hAnsi="Calibri" w:asciiTheme="minorHAnsi" w:cstheme="minorHAnsi" w:hAnsiTheme="minorHAnsi"/>
          <w:kern w:val="2"/>
          <w:lang w:eastAsia="zh-CN"/>
        </w:rPr>
        <w:t xml:space="preserve">Miastem i Gminą Katy Wrocławskie, Rynek-Ratusz 1, 55-080 Kąty Wrocławskie, NIP 9130005147 - Zespołem Szkolno – Przedszkolnym z siedzibą w Krzeptowie, w imieniu, której działa ………………………………………………….. -Dyrektor na podstawie pełnomocnictwa nr ……………….. Burmistrza Miasta i Gminy Kąty Wrocławskie z dnia ………………….. r.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kern w:val="2"/>
          <w:lang w:eastAsia="zh-CN"/>
        </w:rPr>
      </w:pPr>
      <w:r>
        <w:rPr>
          <w:rFonts w:cs="Calibri" w:ascii="Calibri" w:hAnsi="Calibri" w:asciiTheme="minorHAnsi" w:cstheme="minorHAnsi" w:hAnsiTheme="minorHAnsi"/>
          <w:kern w:val="2"/>
          <w:lang w:eastAsia="zh-CN"/>
        </w:rPr>
        <w:t xml:space="preserve"> </w:t>
      </w:r>
      <w:r>
        <w:rPr>
          <w:rFonts w:cs="Calibri" w:ascii="Calibri" w:hAnsi="Calibri" w:asciiTheme="minorHAnsi" w:cstheme="minorHAnsi" w:hAnsiTheme="minorHAnsi"/>
          <w:kern w:val="2"/>
          <w:lang w:eastAsia="zh-CN"/>
        </w:rPr>
        <w:t>zwany dalej Zamawiającym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  <w:bCs/>
        </w:rPr>
        <w:t>……………………………………………</w:t>
      </w:r>
      <w:r>
        <w:rPr>
          <w:rFonts w:cs="Calibri" w:ascii="Calibri" w:hAnsi="Calibri" w:asciiTheme="minorHAnsi" w:cstheme="minorHAnsi" w:hAnsiTheme="minorHAnsi"/>
          <w:b/>
          <w:bCs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rezultacie dokonania przez Zamawiającego wyboru Wykonawcy w trybie podstawowym bez przeprowadzania negocjacji na podstawie art. 275 pkt 1 ustawy z dnia 11 września 2019 r. – Prawo zamówień publicznych  (Dz.U. z 2024 r. poz. 1320 z późn. zm.) została zawarta umowa o następującej treści: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 1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Przedmiot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</w:rPr>
        <w:t>Umowy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Przedmiotem Umowy jest ustalenie przez Strony warunków dotyczących Zamówień wykonawczych.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Zamówienia wykonawcze udzielane będą przez Zamawiającego według jego bieżących potrzeb.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W Zamówieniu wykonawczym – stanowiącym załącznik do niniejszej umowy, zostały określone wszystkie zasady i terminy dostawy produktów żywnościowych, zgodnie z zaoferowanym asortymentem (częścią zamówienia), tj: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Część 1 -  Mięso, wędliny, przetwory mięsne oraz podroby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Część 2 -  Ryby mrożone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Część 3 – Owoce i warzywa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Cześć 4 -  Różne produkty spożywcze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Cześć 5 - Mleko, przetwory mleczne i nabiał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Część 6 – Jaja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Cześć 7 – Mrożonki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Część 8 – Pieczywo</w:t>
      </w:r>
    </w:p>
    <w:p>
      <w:pPr>
        <w:pStyle w:val="Normal"/>
        <w:widowControl w:val="false"/>
        <w:numPr>
          <w:ilvl w:val="0"/>
          <w:numId w:val="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Część 9 – Wyroby garmażeryjne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Produkty spożywcze muszą być dostarczane samochodem własnym  dostawcy w opakowaniach jednostkowych opisanych w formularzu asortymentowo-cenowym lub opakowaniu o zbliżonej gramaturze.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Artykuły żywnościowe objęte dostawą muszą spełniać wymogi sanitarno-epidemiologiczne i zasady systemu HACCP w zakładach żywienia zbiorowego.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Wszystkie artykuły muszą jednocześnie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(Dz.U. z 2016 poz.1154).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 xml:space="preserve">Przedmiot zamówienia obejmuje dostarczenie asortymentu do miejsca przeznaczenia własnym transportem, przystosowanym do przewozu żywności,  w tym żywności przewożonej w warunkach chłodniczych i produktów mrożonych, staraniem i na własny koszt wraz z rozładunkiem w miejscu wskazanym przez Zamawiającego.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Wykonawca zobowiązuje się do dostarczenia przedmiotu umowy zgodnego z wymaganiami zawartymi w opisie przedmiotu zamówienia stanowiącym załącznik do niniejszej umowy.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 xml:space="preserve">Wykonawca oświadcza, że dostarczane artykuły spożywcze posiadają termin ważności nie krótszy niż połowa okresu przydatności do spożycia określonego przez producenta. 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W przypadku niedopełnienia obowiązku wynikającego z ust. 9 Wykonawca zobowiązany jest do bezpłatnej wymiany artykułów spożywczych na zgodne z wymogami określonymi Umową i wolne od wad w terminie 2 dni roboczych od pisemnego zgłoszenia zastrzeżeń jakościowych towaru. Wymiana następuje staraniem i na koszt Wykonawcy.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Zamawiający zastrzega sobie prawo odmówienia przyjęcia dostarczonych towarów, jeżeli wystąpią jakiekolwiek nieprawidłowości co do jakości, terminu przydatności do spożycia danego produktu, bądź będzie on przewożony w nieodpowiednich warunkach (nieodpowiednim transportem).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Zamawiający odmówi przyjęcia dostawy w przypadku gdy dostarczony przedmiot umowy będzie rozmrożony lub częściowo rozmrożony (dotyczy produktów mrożonych).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pacing w:val="6"/>
        </w:rPr>
      </w:pPr>
      <w:r>
        <w:rPr>
          <w:rFonts w:cs="Calibri" w:ascii="Calibri" w:hAnsi="Calibri" w:asciiTheme="minorHAnsi" w:cstheme="minorHAnsi" w:hAnsiTheme="minorHAnsi"/>
          <w:bCs/>
          <w:spacing w:val="6"/>
        </w:rPr>
        <w:t>Ilość dostarczonego towaru winna być zgodna z zamówieniem złożonym przez Zamawiającego na dany dzień.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 2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Terminy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</w:rPr>
        <w:t>wykonania Umowy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Umowę zawiera się do dnia wyczerpania środków przeznaczonych w ramach Umowy na realizację Zamówień wykonawczych (tj. maksymalnej wartości brutto wynagrodzenia Wykonawcy), o których mowa w § 4 ust. 1, lub na czas trwania Umowy, tj. – 12 miesięcy liczone od dnia zawarcia Umowy, nie wcześniej jednak niż od 1 stycznia 2026 r, w zależności od tego, które z tych zdarzeń nastąpi pierwsze.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§ 3</w:t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Zobowiązania stron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bidi="pl-PL"/>
        </w:rPr>
        <w:t>Wykonawca oświadcza, iż posiada kwalifikacje i uprawnienia wymagane do prawidłowego wykonania przedmiotu umowy i będzie realizował Umowę z należytą starannością.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bidi="pl-PL"/>
        </w:rPr>
        <w:t>Wykonawca oświadcza, że posiada środki transportu przystosowane do przewozu żywności, zaakceptowane przez Inspekcje Sanitarną. Wykonawca oświadcza, że okaże stosowne zezwolenia na każde żądanie Zamawiającego.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Wykonawca zobowiązuje się do realizacji Zamówień wykonawczych, niezwłocznie po ich otrzymaniu i w terminach w nich wskazanych.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bidi="pl-PL"/>
        </w:rPr>
        <w:t>Wykonawca przy wykonywaniu Umowy, ponosi odpowiedzialność za kompetentne, rzetelne i terminowe wykonywanie przedmiotu umowy.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Wykonawca ponosi odpowiedzialność za działania lub zaniechania własne oraz działającego na jego zlecenie podwykonawcy związane z realizacją Umowy, chyba że szkoda nastąpiła wskutek Siły wyższej albo wyłącznie z winy, Odbiorcy lub osoby trzeciej, za którą Wykonawca nie ponosi odpowiedzialności, w szczególności Wykonawca ponosi odpowiedzialność za wszelkie szkody, które Wykonawca lub osoba trzecia, którą Wykonawca posługuje się przy realizacji Umowy, spowoduje podczas lub w związku z wykonywaniem prac będących przedmiotem Umowy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bidi="pl-PL"/>
        </w:rPr>
        <w:t>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Wykonawca oświadcza, że:</w:t>
      </w:r>
    </w:p>
    <w:p>
      <w:pPr>
        <w:pStyle w:val="ListParagraph"/>
        <w:numPr>
          <w:ilvl w:val="0"/>
          <w:numId w:val="21"/>
        </w:numPr>
        <w:suppressAutoHyphens w:val="false"/>
        <w:spacing w:lineRule="auto" w:line="360" w:before="0" w:after="0"/>
        <w:ind w:left="0" w:hanging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dostarczany przedmiot umowy będzie zgodny z opisem przedmiotu zamówienia – załącznik  do niniejszej umowy oraz pochodzić będzie z oficjalnego kanału sprzedaży producenta na rynek Unii Europejskiej,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360" w:before="0" w:after="0"/>
        <w:ind w:left="0" w:hanging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dysponuje obsługą i personelem technicznym umożliwiającym realizację całego przedmiotu Umowy.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  <w:lang w:bidi="pl-PL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bidi="pl-PL"/>
        </w:rPr>
        <w:t>Zamawiający zobowiązuje się do zapewnienia Wykonawcy warunków do sprawnej i zgodnej z zasadami realizacji dostaw.</w:t>
      </w:r>
    </w:p>
    <w:p>
      <w:pPr>
        <w:pStyle w:val="Bodytext21"/>
        <w:numPr>
          <w:ilvl w:val="0"/>
          <w:numId w:val="4"/>
        </w:numPr>
        <w:shd w:val="clear" w:color="auto" w:fill="auto"/>
        <w:tabs>
          <w:tab w:val="clear" w:pos="708"/>
          <w:tab w:val="left" w:pos="567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Wykonawca nie może powierzyć osobie trzeciej wykonywania zobowiązań wynikających z niniejszej Umowy bez uprzedniej zgody Zamawiającego wyrażonej na piśmie pod rygorem nieważności.</w:t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§ 4</w:t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Wynagrodzenie i sposób zapłaty</w:t>
      </w:r>
    </w:p>
    <w:p>
      <w:pPr>
        <w:pStyle w:val="Default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</w:rPr>
        <w:t xml:space="preserve">Za realizację przedmiotu wszystkich Zamówień wykonawczych udzielonych w ramach Umowy, Strony ustalają wynagrodzenie, które nie przekroczy, w całym okresie trwania Umowy, kwoty ……………………. zł brutto </w:t>
      </w:r>
      <w:r>
        <w:rPr>
          <w:rFonts w:cs="Calibri" w:ascii="Calibri" w:hAnsi="Calibri" w:asciiTheme="minorHAnsi" w:cstheme="minorHAnsi" w:hAnsiTheme="minorHAnsi"/>
          <w:bCs/>
        </w:rPr>
        <w:t>(słownie:………………………………………………………………….)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1. Mięso, wędliny -  ………..zł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2. Ryby - ………………zł.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3. Warzywa i owoce –………………zł.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4. Różne produkty spożywcze –………………..zł.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5. Mleko, nabiał –…………………..zł.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6. Jaja –…………………zł.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7. Mrożonki -…………………zł.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8. Pieczywo –………………………zł.</w:t>
      </w:r>
    </w:p>
    <w:p>
      <w:pPr>
        <w:pStyle w:val="Default"/>
        <w:widowControl w:val="false"/>
        <w:numPr>
          <w:ilvl w:val="0"/>
          <w:numId w:val="7"/>
        </w:numPr>
        <w:spacing w:lineRule="auto" w:line="360"/>
        <w:ind w:left="0" w:hanging="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Część 9. Wyroby garmażeryjne –………………………..zł</w:t>
      </w:r>
    </w:p>
    <w:p>
      <w:pPr>
        <w:pStyle w:val="Default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Strony ustalają, że przez okres obowiązywania Umowy łączna wartość dostaw realizowanych na podstawie Zamówień wykonawczych nie przekroczy kwoty, o której mowa w ust. 1.</w:t>
      </w:r>
    </w:p>
    <w:p>
      <w:pPr>
        <w:pStyle w:val="Default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Wynagrodzenie za realizację Zamówień wykonawczych, obejmuje wszelkie koszty związane z realizacją postanowień Umowy i danej Zamówienia wykonawczego (w szczególności wszelkie cła, koszty i opłaty, w tym koszt transportu do siedziby Zamawiającego).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Rozliczenie za wykonane dostawy (w tym dostawy częściowe) następować będzie zgodnie z zawartymi Zamówieniami wykonawczymi po realizacji dostawy.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Wykonawca może wystawiać faktury zbiorcze za określony okres realizacji dostaw częściowych (maksymalnie za dostawy częściowe zrealizowane w okresie ostatnich 30 dni), albo wystawiać je na bieżąco, po każdej dostawie częściowej.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Zamawiający ma obowiązek zapłaty faktur VAT, w terminie 30 dni od daty ich otrzymania przez Zamawiającego.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Płatność dokonana zostanie przelewem na konto Wykonawcy wskazane na fakturze VAT.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Za dzień zapłaty uważa się datę przyjęcia przez bank Zamawiającego polecenia przelewu środków na konto Wykonawcy.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spacing w:val="6"/>
        </w:rPr>
      </w:pPr>
      <w:r>
        <w:rPr>
          <w:rFonts w:cs="Calibri" w:ascii="Calibri" w:hAnsi="Calibri" w:asciiTheme="minorHAnsi" w:cstheme="minorHAnsi" w:hAnsiTheme="minorHAnsi"/>
          <w:spacing w:val="6"/>
        </w:rPr>
        <w:t xml:space="preserve">Faktury będą wystawiane przez Wykonawcę na dane: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NABYWCA: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Miasto i Gmina Katy Wrocławskie,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Rynek-Ratusz 1,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55-080 Kąty Wrocławskie,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NIP 9130005147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ODBIORCA: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Zespół Szkolno – Przedszkolny w Krzeptowie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W razie wątpliwości poczytuje się, że wynagrodzenie Wykonawcy może zostać obniżone w sytuacjach przewidzianych Umową (dotyczy to w szczególności: kar umownych i odszkodowań) i przepisami prawa.</w:t>
      </w:r>
    </w:p>
    <w:p>
      <w:pPr>
        <w:pStyle w:val="Normal"/>
        <w:widowControl w:val="false"/>
        <w:numPr>
          <w:ilvl w:val="0"/>
          <w:numId w:val="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Wykonawca wyraża zgodę na dokonywanie przez Zamawiającego potrąceń umownych wierzytelności pieniężnych Zamawiającego przysługujących mu względem Wykonawcy (w szczególności wierzytelności wynikających z nienależytej realizacji zamówienia wykonawczego w tym kar umownych i odszkodowań) z wierzytelnościami pieniężnymi Wykonawcy o zapłatę wynagrodzenia z Zamówienia wykonawczego.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§ 5</w:t>
      </w:r>
    </w:p>
    <w:p>
      <w:pPr>
        <w:pStyle w:val="Default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Zasady udzielania Zamówień wykonawczych</w:t>
      </w:r>
    </w:p>
    <w:p>
      <w:pPr>
        <w:pStyle w:val="Default"/>
        <w:widowControl w:val="false"/>
        <w:numPr>
          <w:ilvl w:val="0"/>
          <w:numId w:val="8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Zamówienia wykonawcze udzielone będą Wykonawcy, z którym zostanie zawarta umowa, według następujących zasad: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</w:tabs>
        <w:spacing w:lineRule="auto" w:line="360"/>
        <w:ind w:left="0" w:hanging="0"/>
        <w:jc w:val="both"/>
        <w:rPr>
          <w:rFonts w:ascii="Calibri" w:hAnsi="Calibri" w:eastAsia="Calibri" w:cs="Calibri" w:asciiTheme="minorHAnsi" w:cstheme="minorHAnsi" w:hAnsiTheme="minorHAnsi"/>
          <w:color w:val="00000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lang w:eastAsia="en-US"/>
        </w:rPr>
        <w:t>Zamówienie wykonawcze zostanie przesłane na adres skrzynki elektronicznej, wskazanej w ust. 3, w postaci elektronicznej.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</w:tabs>
        <w:spacing w:lineRule="auto" w:line="360"/>
        <w:ind w:left="0" w:hanging="0"/>
        <w:jc w:val="both"/>
        <w:rPr>
          <w:rFonts w:ascii="Calibri" w:hAnsi="Calibri" w:eastAsia="Calibri" w:cs="Calibri" w:asciiTheme="minorHAnsi" w:cstheme="minorHAnsi" w:hAnsiTheme="minorHAnsi"/>
          <w:color w:val="00000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lang w:eastAsia="en-US"/>
        </w:rPr>
        <w:t>Za dzień rozpoczęcia realizacji Zamówienia wykonawczego uznaje się dzień dostarczenia zamówienia wykonawczego na serwer poczty Wykonawcy.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</w:tabs>
        <w:spacing w:lineRule="auto" w:line="360"/>
        <w:ind w:left="0" w:hanging="0"/>
        <w:jc w:val="both"/>
        <w:rPr>
          <w:rFonts w:ascii="Calibri" w:hAnsi="Calibri" w:eastAsia="Calibri" w:cs="Calibri" w:asciiTheme="minorHAnsi" w:cstheme="minorHAnsi" w:hAnsiTheme="minorHAnsi"/>
          <w:color w:val="000000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lang w:eastAsia="en-US"/>
        </w:rPr>
        <w:t>Wykonawca, na każde żądanie Zamawiającego, potwierdzi fakt otrzymania zamówienia wykonawczego.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</w:rPr>
        <w:t>W razie wątpliwości poczytuje się, że Zamawiający nie jest zobowiązany do składania Zamówień wykonawczych i strony nie ustalają dla Wykonawcy minimalnej kwoty gwarantowanej zapłaty w przypadku nie składania przez Zamawiającego zamówień wykonawczych objętych umową</w:t>
      </w:r>
      <w:r>
        <w:rPr>
          <w:rFonts w:cs="Calibri" w:ascii="Calibri" w:hAnsi="Calibri" w:asciiTheme="minorHAnsi" w:cstheme="minorHAnsi" w:hAnsiTheme="minorHAnsi"/>
          <w:b/>
          <w:bCs/>
        </w:rPr>
        <w:t>.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Osobami wyznaczonymi przez Strony w celu realizacji umowy są: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ze strony Wykonawcy:</w:t>
        <w:tab/>
        <w:t xml:space="preserve">…………………………………………………………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ze strony Zamawiającego: ………………………………………………………… </w:t>
        <w:tab/>
        <w:t xml:space="preserve"> 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567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</w:rPr>
        <w:t>Os</w:t>
      </w:r>
      <w:r>
        <w:rPr>
          <w:rFonts w:cs="Calibri" w:ascii="Calibri" w:hAnsi="Calibri" w:asciiTheme="minorHAnsi" w:cstheme="minorHAnsi" w:hAnsiTheme="minorHAnsi"/>
          <w:color w:val="000000"/>
        </w:rPr>
        <w:t>oby wymienione w ust. 3 nie są uprawnione do dokonywania zmian umowy, chyba że co innego wynika z przepisów prawa lub wyraźnie wynika z odrębnego pełnomocnictwa udzielonego im na piśmie pod rygorem nieważności.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720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 6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Kary umowne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Strony ustalają odpowiedzialność za niewykonanie lub nienależyte wykonanie zobowiązań umownych w formie kar umownych w następujących przypadkach i wysokościach: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Wykonawca zapłaci Zamawiającemu karę umowną:</w:t>
      </w:r>
    </w:p>
    <w:p>
      <w:pPr>
        <w:pStyle w:val="Normal"/>
        <w:widowControl w:val="false"/>
        <w:numPr>
          <w:ilvl w:val="0"/>
          <w:numId w:val="12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w przypadku zwłoki w dostarczeniu zamówionych artykułów spożywczych - w wysokości 10% wartości niedostarczonej partii towaru za każde 30 minut zwłoki, ale nie więcej niż 20% wartości brutto danego zamówienia</w:t>
      </w:r>
      <w:r>
        <w:rPr>
          <w:rFonts w:cs="Calibri" w:ascii="Calibri" w:hAnsi="Calibri" w:asciiTheme="minorHAnsi" w:cstheme="minorHAnsi" w:hAnsiTheme="minorHAnsi"/>
          <w:bCs/>
        </w:rPr>
        <w:t>,</w:t>
      </w:r>
    </w:p>
    <w:p>
      <w:pPr>
        <w:pStyle w:val="Normal"/>
        <w:widowControl w:val="false"/>
        <w:numPr>
          <w:ilvl w:val="0"/>
          <w:numId w:val="12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w przypadku zwłoki w wymianie towaru wadliwego na wolny od wad – w wysokości 10% wartości towaru dostarczonego z wadami za każdy dzień zwłoki liczony od dnia wyznaczonego na wymianę,</w:t>
      </w:r>
    </w:p>
    <w:p>
      <w:pPr>
        <w:pStyle w:val="Normal"/>
        <w:widowControl w:val="false"/>
        <w:numPr>
          <w:ilvl w:val="0"/>
          <w:numId w:val="12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Cs/>
        </w:rPr>
        <w:t>za niedotrzymanie deklarowanego czasu dostawy specjalnej, o której mowa w § 2 ust. 6 umowy, w wysokości 200 zł brutto za każdy stwierdzony przypadek,</w:t>
      </w:r>
    </w:p>
    <w:p>
      <w:pPr>
        <w:pStyle w:val="Normal"/>
        <w:widowControl w:val="false"/>
        <w:numPr>
          <w:ilvl w:val="0"/>
          <w:numId w:val="12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w przypadku odstąpienia od Umowy przez Zamawiającego z przyczyn leżących po stronie Wykonawcy - w wysokości 20 % maksymalnej wartości brutto niniejszej Umowy,</w:t>
      </w:r>
      <w:r>
        <w:rPr>
          <w:rFonts w:cs="Calibri" w:ascii="Calibri" w:hAnsi="Calibri" w:asciiTheme="minorHAnsi" w:cstheme="minorHAnsi" w:hAnsiTheme="minorHAnsi"/>
          <w:bCs/>
        </w:rPr>
        <w:t xml:space="preserve"> o której mowa w § 4 ust. 1 Umowy.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Strony mogą dochodzić odszkodowania uzupełniającego na zasadach ogólnych Kodeksu Cywilnego, jeżeli szkoda przekracza wysokość kar umownych.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Zamawiający może dokonywać potrąceń kwot kar umownych z wynagrodzenia Wykonawcy, choćby obie należności nie były wymagalne.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Łączna maksymalna wysokość kar umownych, o których mowa w ust. 1 pkt 1 nie może przekroczyć 30% maksymalnej wartości brutto, o której mowa w § 4 ust. 1 Umowy.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§ 7</w:t>
      </w:r>
      <w:bookmarkStart w:id="0" w:name="_Hlk183458636"/>
      <w:bookmarkEnd w:id="0"/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Odstąpienie od Umowy i Zamówienia wykonawczego</w:t>
      </w:r>
    </w:p>
    <w:p>
      <w:pPr>
        <w:pStyle w:val="Normal"/>
        <w:widowControl w:val="false"/>
        <w:numPr>
          <w:ilvl w:val="0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Zamawiający może odstąpić od Umowy:</w:t>
      </w:r>
    </w:p>
    <w:p>
      <w:pPr>
        <w:pStyle w:val="Normal"/>
        <w:widowControl w:val="false"/>
        <w:numPr>
          <w:ilvl w:val="1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sytuacji i na warunkach przewidzianych w art. 456 ustawy;</w:t>
      </w:r>
    </w:p>
    <w:p>
      <w:pPr>
        <w:pStyle w:val="Normal"/>
        <w:widowControl w:val="false"/>
        <w:numPr>
          <w:ilvl w:val="1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sytuacjach przewidzianych w kodeksie cywilnym;</w:t>
      </w:r>
    </w:p>
    <w:p>
      <w:pPr>
        <w:pStyle w:val="Normal"/>
        <w:widowControl w:val="false"/>
        <w:numPr>
          <w:ilvl w:val="1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 następujących sytuacjach: </w:t>
      </w:r>
    </w:p>
    <w:p>
      <w:pPr>
        <w:pStyle w:val="Normal"/>
        <w:widowControl w:val="false"/>
        <w:numPr>
          <w:ilvl w:val="0"/>
          <w:numId w:val="14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Wykonawca, pomimo wezwania przez Zamawiającego do wykonywania lub należytego wykonywania zobowiązań z Umowy w terminie 3 dni od dnia doręczenia wezwania, nadal nie wykonuje zobowiązań wynikających z Umowy lub wykonuje je nienależycie; w takim przypadku odstąpienie od Umowy może nastąpić w terminie 10 dni od bezskutecznego upływu 3 dniowego terminu do należytego wykonywania Umowy;</w:t>
      </w:r>
    </w:p>
    <w:p>
      <w:pPr>
        <w:pStyle w:val="Normal"/>
        <w:widowControl w:val="false"/>
        <w:numPr>
          <w:ilvl w:val="0"/>
          <w:numId w:val="14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dwukrotnego odstąpienia od realizacji Zamówienia wykonawczego z przyczyn leżących po stronie Wykonawcy; Odstąpienie od Umowy Ramowej może nastąpić w terminie 10 dni od dnia odstąpienia od drugiego Zamówienia wykonawczego. </w:t>
      </w:r>
    </w:p>
    <w:p>
      <w:pPr>
        <w:pStyle w:val="Normal"/>
        <w:widowControl w:val="false"/>
        <w:numPr>
          <w:ilvl w:val="0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Odstąpienie od Umowy i zamówienia wykonawczego może nastąpić wyłącznie w formie pisemnej pod rygorem nieważności i powinno zawierać uzasadnienie. </w:t>
      </w:r>
    </w:p>
    <w:p>
      <w:pPr>
        <w:pStyle w:val="Normal"/>
        <w:widowControl w:val="false"/>
        <w:numPr>
          <w:ilvl w:val="0"/>
          <w:numId w:val="13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Dla zachowania terminu do odstąpienia (np. 10 dniowego terminu, o którym mowa w ust. 1 pkt. 3 lit. a i b,), wystarczy wysłanie oświadczenia o odstąpieniu przesyłką rejestrowaną na adres Strony przeciwnej wskazany w komparycji Umowy lub aktualny adres w KRS.</w:t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284" w:leader="none"/>
        </w:tabs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</w:rPr>
        <w:t>Odstąpienie od Umowy, z zastrzeżeniem ust. 1 pkt 1 i ust. 2 pkt 1, nie wyłącza możliwości naliczenia i potrącenia kar umownych, o których mowa w § 7.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 8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Zakaz cesji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Wykonawca bez zgody Zamawiającego udzielonej na piśmie pod rygorem nieważności nie może przenieść jakiejkolwiek wierzytelności wynikającej z Umowy ramowej lub Zamówienia wykonawczego na osobę trzecią.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 9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Przewidywane zmiany postanowień umownych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</w:rPr>
        <w:t xml:space="preserve">1.Strony postanawiają, że dokonają zmiany wynagrodzenia Wykonawcy w przypadku: </w:t>
      </w:r>
    </w:p>
    <w:p>
      <w:pPr>
        <w:pStyle w:val="Normal"/>
        <w:widowControl w:val="false"/>
        <w:numPr>
          <w:ilvl w:val="0"/>
          <w:numId w:val="15"/>
        </w:numPr>
        <w:spacing w:lineRule="auto" w:line="360"/>
        <w:ind w:left="0" w:hanging="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 xml:space="preserve">w przypadku zmiany stawki podatku od towarów i usług – Wynagrodzenie przewidziane w tej Umowie ulegnie zmianie odpowiedniej do zmiany wysokości podatku od towarów i usług (ulegnie korekcie o wysokość zmiany podatku VAT), przy czym powyższa zmiana będzie miała zastosowanie wyłącznie w odniesieniu do części Wynagrodzenia objętego fakturami wystawionymi po dniu wejścia w życie zmiany przepisów prawa wprowadzających nowe stawki podatku od towarów i usług; </w:t>
      </w:r>
    </w:p>
    <w:p>
      <w:pPr>
        <w:pStyle w:val="Normal"/>
        <w:widowControl w:val="false"/>
        <w:numPr>
          <w:ilvl w:val="0"/>
          <w:numId w:val="15"/>
        </w:numPr>
        <w:spacing w:lineRule="auto" w:line="360"/>
        <w:ind w:left="0" w:hanging="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 xml:space="preserve">w przypadku zmian wysokości minimalnego wynagrodzenia za pracę ustalonego na podstawie art. 2 ust. 3-5 ustawy z dnia 10 października 2002 r. o minimalnym wynagrodzeniu za pracę, lub zasad podlegania ubezpieczeniom społecznym lub ubezpieczeniu zdrowotnemu, lub wysokości stawki składki na ubezpieczenia społeczne lub zdrowotne, Strony wprowadzą zmianę wysokości Wynagrodzenia odpowiednią do kwoty, o jaką wskutek tych zmian zmianie ulegnie koszt wykonania zamówienia przez Wykonawcę. Zmiana będzie miała zastosowanie wyłącznie w odniesieniu do części Wynagrodzenia objętego fakturami wystawionymi po dniu wejścia w życie zmiany przepisów prawa; </w:t>
      </w:r>
    </w:p>
    <w:p>
      <w:pPr>
        <w:pStyle w:val="Normal"/>
        <w:widowControl w:val="false"/>
        <w:numPr>
          <w:ilvl w:val="0"/>
          <w:numId w:val="15"/>
        </w:numPr>
        <w:spacing w:lineRule="auto" w:line="360"/>
        <w:ind w:left="0" w:hanging="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>w przypadku zmiany zasad gromadzenia i wysokości wpłat do pracowniczych planów kapitałowych, o których mowa w ustawie z dnia 4 października 2018 r. o pracowniczych planach kapitałowych, wynagrodzenie Wykonawcy ulegnie zmianie w przypadku wykazania, że zmiany te miały wpływ na koszty realizacji przedmiotu Umowy, z zastrzeżeniem że powyższa zmiana będzie miała zastosowanie wyłącznie w odniesieniu do części Wynagrodzenia objętego fakturami wystawionymi po dniu wejścia w życie zmiany przepisów prawa;</w:t>
      </w:r>
    </w:p>
    <w:p>
      <w:pPr>
        <w:pStyle w:val="Normal"/>
        <w:widowControl w:val="false"/>
        <w:numPr>
          <w:ilvl w:val="0"/>
          <w:numId w:val="15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zmiany cen materiałów lub kosztów związanych z realizacją zamówienia - jedynie o ile te zmiany będą miały wpływ na koszt wykonania zamówienia przez Wykonawcę.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>W celu wykazania wpływu wskazanych zmian na koszty wykonania Umowy, o których mowa w ust. 1 lit. b-d, Wykonawca przedstawi Zamawiającemu szczegółową kalkulację kosztów według stanu sprzed danej zmiany oraz szczegółową kalkulację kosztów według stanu po wprowadzeniu zmiany, oraz wskaże kwotę, o jaką wynagrodzenie powinno ulec zmianie. Zamawiający niezwłocznie ustosunkuje się do przedstawionych kalkulacji, w szczególności poprzez zaakceptowanie wskazanej przez Wykonawcę kwoty lub poprzez zgłoszenie zastrzeżeń i żądanie wyjaśnień, co do poszczególnych elementów kalkulacji.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Waloryzacja wynagrodzenia Wykonawcy w oparciu o §11 ust. 1 lit d):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może nastąpić gdy wskaźnik kosztów ogłaszany w komunikacie Prezesa Głównego Urzędu Statystycznego za ostatni miesiąc poprzedzający wniosek o waloryzację wzrośnie o co najmniej 8% (średnioroczny wskaźnik cen towarów i usług konsumpcyjnych ogółem ogłaszany w Monitorze Polskim w komunikatach Prezesa Głównego Urzędu Statystycznego wyniesie powyżej 108) w stosunku do wysokości tego wskaźnika w miesiącu zawarcia Umowy ramowej,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maksymalna wysokość waloryzacji wynagrodzenia Wykonawcy w czasie trwania Umowy ramowej nie przekroczy 3% (słownie: trzy procent) w danym roku,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nie zostanie zastosowana od chwili osiągnięcia limitu, o którym mowa w ustępie poprzednim,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>może być dokonana nie częściej niż dwa razy w roku najwcześniej po upływie 6 miesięcy od zawarcia Umowy,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nie będzie mieć zastosowania do wynagrodzenia, które stało się wymagalne bądź powinno stać się wymagalne zgodnie z postanowieniami Umowy przed dniem wejścia w życie zmian, o których mowa w ust. 1 lit d) lub zostało zapłacone Wykonawcy przed dniem wejścia w życie zmian, o których mowa w ust. 1 lit d),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wniosek, który zawiera wpływ zmian, o których mowa w ust. 1 lit d) na koszt wykonania Umowy obciąża w całości Wykonawcę, zarówno co do zasady, jak i co do wysokości waloryzacji pod rygorem odmowy dokonania waloryzacji przez Zamawiającego,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sposób określenia wpływu zmiany ceny materiałów lub kosztów na koszt wykonania zamówienia nastąpi na podstawie wniosku strony wnioskującej o waloryzację i dokumentów dołączonych do tego wniosku potwierdzających m.in. rzeczywiste zastosowanie poszczególnych materiałów/poniesienie poszczególnych kosztów w ramach niniejszego zamówienia, a także na podstawie komunikatów Prezesa GUS, o których mowa w pkt 1 powyżej. Waloryzacja może nastąpić na podstawie pisemnego aneksu podpisanego przez obie Strony Umowy, 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wniosek, o którym mowa w pkt 6, musi zostać złożony w formie elektronicznej, na adres poczty elektronicznej wskazanej w §5 ust. 3,</w:t>
      </w:r>
    </w:p>
    <w:p>
      <w:pPr>
        <w:pStyle w:val="Tretekstu"/>
        <w:numPr>
          <w:ilvl w:val="2"/>
          <w:numId w:val="17"/>
        </w:numPr>
        <w:tabs>
          <w:tab w:val="clear" w:pos="708"/>
          <w:tab w:val="left" w:pos="709" w:leader="none"/>
        </w:tabs>
        <w:spacing w:lineRule="auto" w:line="360"/>
        <w:ind w:left="0" w:hanging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wniosek, o którym mowa w pkt 6 uznaje się za prawidłowo złożony, w przypadku, gdy wraz z wnioskiem, Wykonawca złoży kalkulację wraz z dowodami potwierdzającymi celowość zmiany.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Zamawiający odrzuci wniosek o waloryzację w przypadku, gdy przedstawiony kosztorys i dowody nie uprawdopodobnią konieczności dokonania zmiany wynagrodzenia w sposób jednoznaczny.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celu uniknięcia wątpliwości Strony potwierdzają, że z żądaniem waloryzacji Wynagrodzenia może wystąpić także Zamawiający – w takim przypadku Wykonawca zobowiązany będzie do przedstawienia wskazanych w tym postanowieniu szczegółowych kalkulacji niezwłocznie po otrzymaniu żądania Zamawiającego.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Zamawiający, na podstawie art. 455 ustawy Prawo zamówień publicznych, przewiduje zmiany do umowy, polegające na zmianie oferowanego przedmiotu umowy na inny o parametrach nie gorszych niż wskazanych w załączniku nr 1 do umowy – Opis przedmiotu zamówienia. Każda zmiana, o której mowa w zdaniu pierwszym, wymaga pisemnej zgody Zamawiającego, po uprzedniej weryfikacji parametrów technicznych.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Style w:val="Markedcontent"/>
          <w:rFonts w:ascii="Calibri" w:hAnsi="Calibri" w:cs="Calibri" w:asciiTheme="minorHAnsi" w:cstheme="minorHAnsi" w:hAnsiTheme="minorHAnsi"/>
        </w:rPr>
      </w:pPr>
      <w:r>
        <w:rPr>
          <w:rStyle w:val="Markedcontent"/>
          <w:rFonts w:cs="Calibri" w:ascii="Calibri" w:hAnsi="Calibri" w:asciiTheme="minorHAnsi" w:cstheme="minorHAnsi" w:hAnsiTheme="minorHAnsi"/>
        </w:rPr>
        <w:t xml:space="preserve">Wykonawca, którego wynagrodzenie zostało zmienione w oparciu ust. 1 lit d  niniejszego paragrafu, zobowiązany jest do zmiany wynagrodzenia </w:t>
      </w:r>
      <w:r>
        <w:rPr>
          <w:rFonts w:cs="Calibri" w:ascii="Calibri" w:hAnsi="Calibri" w:asciiTheme="minorHAnsi" w:cstheme="minorHAnsi" w:hAnsiTheme="minorHAnsi"/>
        </w:rPr>
        <w:br/>
      </w:r>
      <w:r>
        <w:rPr>
          <w:rStyle w:val="Markedcontent"/>
          <w:rFonts w:cs="Calibri" w:ascii="Calibri" w:hAnsi="Calibri" w:asciiTheme="minorHAnsi" w:cstheme="minorHAnsi" w:hAnsiTheme="minorHAnsi"/>
        </w:rPr>
        <w:t xml:space="preserve">przysługującego podwykonawcy, z którym zawarł umowę, w zakresie </w:t>
      </w:r>
      <w:r>
        <w:rPr>
          <w:rFonts w:cs="Calibri" w:ascii="Calibri" w:hAnsi="Calibri" w:asciiTheme="minorHAnsi" w:cstheme="minorHAnsi" w:hAnsiTheme="minorHAnsi"/>
        </w:rPr>
        <w:br/>
      </w:r>
      <w:r>
        <w:rPr>
          <w:rStyle w:val="Markedcontent"/>
          <w:rFonts w:cs="Calibri" w:ascii="Calibri" w:hAnsi="Calibri" w:asciiTheme="minorHAnsi" w:cstheme="minorHAnsi" w:hAnsiTheme="minorHAnsi"/>
        </w:rPr>
        <w:t xml:space="preserve">odpowiadającym zmianom kosztów dotyczących zobowiązania podwykonawcy, jeżeli łącznie spełnione są następujące warunki: </w:t>
      </w:r>
      <w:r>
        <w:rPr>
          <w:rFonts w:cs="Calibri" w:ascii="Calibri" w:hAnsi="Calibri" w:asciiTheme="minorHAnsi" w:cstheme="minorHAnsi" w:hAnsiTheme="minorHAnsi"/>
        </w:rPr>
        <w:br/>
      </w:r>
      <w:r>
        <w:rPr>
          <w:rStyle w:val="Markedcontent"/>
          <w:rFonts w:cs="Calibri" w:ascii="Calibri" w:hAnsi="Calibri" w:asciiTheme="minorHAnsi" w:cstheme="minorHAnsi" w:hAnsiTheme="minorHAnsi"/>
        </w:rPr>
        <w:t xml:space="preserve">1) usługi wykonywane przez podwykonawcę są objęte umową; </w:t>
      </w:r>
      <w:r>
        <w:rPr>
          <w:rFonts w:cs="Calibri" w:ascii="Calibri" w:hAnsi="Calibri" w:asciiTheme="minorHAnsi" w:cstheme="minorHAnsi" w:hAnsiTheme="minorHAnsi"/>
        </w:rPr>
        <w:br/>
      </w:r>
      <w:r>
        <w:rPr>
          <w:rStyle w:val="Markedcontent"/>
          <w:rFonts w:cs="Calibri" w:ascii="Calibri" w:hAnsi="Calibri" w:asciiTheme="minorHAnsi" w:cstheme="minorHAnsi" w:hAnsiTheme="minorHAnsi"/>
        </w:rPr>
        <w:t xml:space="preserve">2) okres obowiązywania umowy z podwykonawcą przekracza 6 miesięcy. </w:t>
      </w:r>
    </w:p>
    <w:p>
      <w:pPr>
        <w:pStyle w:val="Normal"/>
        <w:widowControl w:val="false"/>
        <w:numPr>
          <w:ilvl w:val="0"/>
          <w:numId w:val="16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000000"/>
        </w:rPr>
        <w:t>Strony zobowiązują się do pisemnego powiadomienia drugiej ze Stron o zmianie nazwy, siedziby i/lub adresu korespondencyjnego, rachunków bankowych, danych osób do kontaktu wskazanych w umowie. Zmiany te uznaje się zamiany informacyjne, które nie wymagają sporządzenia aneksu do umowy.</w:t>
      </w:r>
    </w:p>
    <w:p>
      <w:pPr>
        <w:pStyle w:val="Normal"/>
        <w:widowControl w:val="false"/>
        <w:suppressAutoHyphens w:val="true"/>
        <w:spacing w:lineRule="auto" w:line="360"/>
        <w:jc w:val="center"/>
        <w:textAlignment w:val="baseline"/>
        <w:rPr>
          <w:rFonts w:ascii="Calibri" w:hAnsi="Calibri" w:eastAsia="SimSun" w:cs="Calibri" w:asciiTheme="minorHAnsi" w:cstheme="minorHAnsi" w:hAnsiTheme="minorHAnsi"/>
          <w:b/>
          <w:b/>
          <w:kern w:val="2"/>
          <w:lang w:eastAsia="zh-CN" w:bidi="hi-IN"/>
        </w:rPr>
      </w:pPr>
      <w:r>
        <w:rPr>
          <w:rFonts w:eastAsia="SimSun" w:cs="Calibri" w:ascii="Calibri" w:hAnsi="Calibri" w:asciiTheme="minorHAnsi" w:cstheme="minorHAnsi" w:hAnsiTheme="minorHAnsi"/>
          <w:b/>
          <w:kern w:val="2"/>
          <w:lang w:eastAsia="zh-CN" w:bidi="hi-IN"/>
        </w:rPr>
        <w:t>§ 10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  <w:bCs/>
        </w:rPr>
        <w:t>Podwykonawcy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Wykonawca może powierzyć Podwykonawcy wykonanie części realizacji zadania będącego przedmiotem niniejszej  umowy.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przypadku realizacji przedmiotu umowy przy udziale Podwykonawcy do obowiązków Wykonawcy należy koordynacja prac realizowanych przez Podwykonawców.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Wykonawca ponosi odpowiedzialność za dochowanie przez Podwykonawców warunków przedmiotowej umowy oraz odpowiada za ich działania i zaniechania jak za swoje własne. 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przedmiotowej umowy. 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Wykonawca  zobowiązuje się do przedkładania Zamawiającemu poświadczonej za zgodność z oryginałem kopii zawartej umowy o podwykonawstwo (lub jej zmian),  w terminie 7 dni od dnia jej zawarcia lub zmiany.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  <w:color w:val="EE0000"/>
        </w:rPr>
      </w:pPr>
      <w:r>
        <w:rPr>
          <w:rFonts w:cs="Calibri" w:ascii="Calibri" w:hAnsi="Calibri" w:asciiTheme="minorHAnsi" w:cstheme="minorHAnsi" w:hAnsiTheme="minorHAnsi"/>
        </w:rPr>
        <w:t xml:space="preserve">Najpóźniej w dniu przedłożenia Zamawiającemu umowy o podwykonawstwie, Wykonawca przedłoży oświadczenie podwykonawcy, o braku podstaw do wykluczenia z przesłanki wynikającej  z  art. 7 ust. 1 ustawy z dnia 13 kwietnia 2022 r. o szczególnych rozwiązaniach w zakresie przeciwdziałania wspieraniu agresji na Ukrainę oraz służących ochronie bezpieczeństwa narodowego </w:t>
      </w:r>
      <w:r>
        <w:rPr>
          <w:rFonts w:cs="Calibri" w:ascii="Calibri" w:hAnsi="Calibri" w:asciiTheme="minorHAnsi" w:cstheme="minorHAnsi" w:hAnsiTheme="minorHAnsi"/>
          <w:color w:val="auto"/>
        </w:rPr>
        <w:t>(t.j. Dz. U. z 2025 r. poz. 514)</w:t>
      </w:r>
      <w:r>
        <w:rPr>
          <w:rFonts w:cs="Calibri" w:ascii="Calibri" w:hAnsi="Calibri" w:asciiTheme="minorHAnsi" w:cstheme="minorHAnsi" w:hAnsiTheme="minorHAnsi"/>
          <w:color w:val="auto"/>
        </w:rPr>
        <w:t xml:space="preserve"> i w art. </w:t>
      </w:r>
      <w:r>
        <w:rPr>
          <w:rFonts w:cs="Calibri" w:ascii="Calibri" w:hAnsi="Calibri" w:asciiTheme="minorHAnsi" w:cstheme="minorHAnsi" w:hAnsiTheme="minorHAnsi"/>
          <w:color w:val="auto"/>
        </w:rPr>
        <w:t>5k Rozporządzenia Rady (UE) 2022/576 z dnia 8 kwietnia 2022 r. w sprawie zmiany rozporządzenia (UE) nr 833/2014 dotyczącego środków ograniczających w związku z działaniami Rosji destabilizującymi sytuację na Ukrainie –w zakresie wymaganym tymi aktami prawnymi.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Wykonawca , którego wynagrodzenie zostało zmienione zobowiązuje się, że w terminie do 30 dni od zawarcia aneksu do umowy dokona zmiany wynagrodzenia przysługującego Podwykonawcy, z którym zawarł umowę, w zakresie odpowiadającym zmianom cen materiałów lub kosztów dotyczących zobowiązania Podwykonawcy, a także przedłoży Zamawiającemu poświadczoną za zgodność z oryginałem kopię zawartego aneksu w terminie, o którym mowa w ust. 5 niniejszego paragrafu. 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Wykonawca oświadcza, iż –w przypadku, gdy Zamawiający, jako dłużnik odpowiadający solidarnie z Wykonawcą  za zapłatę wynagrodzenia Podwykonawcy, zapłaci Podwykonawcy wynagrodzenie należne mu od Wykonawcy –zobowiązuje się zwrócić Zamawiającemu wynagrodzenie, nie później niż w terminie 7 dni od dokonania zapłaty przez Zamawiającego. Wykonawca wyraża zgodę na potrącanie ww. zapłaty z należnego mu wynagrodzenia.</w:t>
      </w:r>
    </w:p>
    <w:p>
      <w:pPr>
        <w:pStyle w:val="Normal"/>
        <w:widowControl w:val="false"/>
        <w:numPr>
          <w:ilvl w:val="0"/>
          <w:numId w:val="18"/>
        </w:numPr>
        <w:suppressAutoHyphens w:val="true"/>
        <w:spacing w:lineRule="auto" w:line="360"/>
        <w:ind w:left="0" w:hanging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 powierzenia Podwykonawcy wykonania części realizacji przedmiotu umowy, zmiany albo rezygnacji z Podwykonawcy konieczna jest zgoda Zamawiającego, ze szczególnym uwzględnieniem zapisów art. 462 ust.7 ustawy Pzp.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§ 11</w:t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Postanowienia końcowe</w:t>
      </w:r>
    </w:p>
    <w:p>
      <w:pPr>
        <w:pStyle w:val="Normal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Wszelkie zmiany Umowy wymagają złożenia przez strony zgodnych oświadczeń woli w formie pisemnej pod rygorem nieważności.</w:t>
      </w:r>
    </w:p>
    <w:p>
      <w:pPr>
        <w:pStyle w:val="Normal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przypadku, jeśli okaże się, że do sprawnej realizacji Umowy lub zamówienia wykonawczego niezbędne jest dokonanie wzajemnych dodatkowych uzgodnień Strony poczynią te uzgodnienia w terminie do 7 dni od zaistnienia tej potrzeby.</w:t>
      </w:r>
    </w:p>
    <w:p>
      <w:pPr>
        <w:pStyle w:val="Normal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Wszelkie spory, jakie mogą wyniknąć pomiędzy Stronami w związku z realizacją postanowień niniejszej Umowy lub Zamówienia wykonawczego, będą rozwiązywane polubownie. </w:t>
      </w:r>
    </w:p>
    <w:p>
      <w:pPr>
        <w:pStyle w:val="Normal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razie braku możliwości porozumienia się Stron w terminie dłuższym niż 30 dni, spór poddany zostanie rozstrzygnięciu sądu właściwego miejscowo dla siedziby Zamawiającego.</w:t>
      </w:r>
    </w:p>
    <w:p>
      <w:pPr>
        <w:pStyle w:val="Normal"/>
        <w:widowControl w:val="false"/>
        <w:numPr>
          <w:ilvl w:val="0"/>
          <w:numId w:val="19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Integralną część Umowy stanowią załączniki:</w:t>
      </w:r>
    </w:p>
    <w:p>
      <w:pPr>
        <w:pStyle w:val="Normal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Opis przedmiotu zamówienia</w:t>
      </w:r>
    </w:p>
    <w:p>
      <w:pPr>
        <w:pStyle w:val="Normal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Wzór zamówienia wykonawczego</w:t>
      </w:r>
    </w:p>
    <w:p>
      <w:pPr>
        <w:pStyle w:val="Normal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Oferta wykonawcy</w:t>
      </w:r>
    </w:p>
    <w:p>
      <w:pPr>
        <w:pStyle w:val="Normal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Załącznik A</w:t>
      </w:r>
    </w:p>
    <w:p>
      <w:pPr>
        <w:pStyle w:val="Normal"/>
        <w:widowControl w:val="false"/>
        <w:numPr>
          <w:ilvl w:val="0"/>
          <w:numId w:val="20"/>
        </w:numPr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Załącznik B</w:t>
      </w:r>
    </w:p>
    <w:p>
      <w:pPr>
        <w:pStyle w:val="Normal"/>
        <w:widowControl w:val="false"/>
        <w:numPr>
          <w:ilvl w:val="0"/>
          <w:numId w:val="0"/>
        </w:numPr>
        <w:spacing w:lineRule="auto" w:line="360"/>
        <w:ind w:left="1440" w:hanging="0"/>
        <w:jc w:val="both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sectPr>
          <w:type w:val="nextPage"/>
          <w:pgSz w:w="11906" w:h="16838"/>
          <w:pgMar w:left="1417" w:right="1417" w:header="0" w:top="1417" w:footer="0" w:bottom="1417" w:gutter="0"/>
          <w:pgNumType w:fmt="decimal"/>
          <w:formProt w:val="false"/>
          <w:textDirection w:val="lrTb"/>
          <w:docGrid w:type="default" w:linePitch="326" w:charSpace="0"/>
        </w:sect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</w:rPr>
        <w:t xml:space="preserve">Załącznik A do umowy </w:t>
      </w:r>
      <w:r>
        <w:rPr>
          <w:rFonts w:cs="Calibri" w:ascii="Calibri" w:hAnsi="Calibri" w:asciiTheme="minorHAnsi" w:cstheme="minorHAnsi" w:hAnsiTheme="minorHAnsi"/>
          <w:b/>
          <w:bCs/>
        </w:rPr>
        <w:t>……………………..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</w:rPr>
        <w:t>Nazwa zadania:</w:t>
      </w:r>
      <w:r>
        <w:rPr>
          <w:rFonts w:cs="Calibri" w:ascii="Calibri" w:hAnsi="Calibri" w:asciiTheme="minorHAnsi" w:cstheme="minorHAnsi" w:hAnsiTheme="minorHAnsi"/>
          <w:b/>
        </w:rPr>
        <w:t xml:space="preserve"> „Umowa ramowa na dostawę środków spożywczych i żywności dla Zespołu Szkolno – Przedszkolnego w Krzeptowie”.</w:t>
      </w:r>
      <w:bookmarkStart w:id="1" w:name="_Hlk122086785"/>
      <w:bookmarkEnd w:id="1"/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OŚWIADCZENIE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Wykonawca oświadcza, że numer rachunku bankowego wskazany w umowie nr ………………….. z dnia .................... jest numerem dedykowanym dla dokonania rozliczeń na zasadach podzielonej płatności (tzw. „split payment”) zgodnie z przepisami ustawy z dnia 29 sierpnia 1997 r. – Prawo bankowe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 (t.j. Dz. U. z 2024 r. poz. 1646 z późn. zm.)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oraz ustawy z dnia 11 marca 2014 r. o podatku od towarów i usług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 (t.j. Dz. U. z 2025 r. poz. 775 z późn. zm.).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cstheme="minorHAnsi" w:ascii="Calibri" w:hAnsi="Calibri"/>
          <w:iCs/>
        </w:rPr>
      </w:r>
    </w:p>
    <w:tbl>
      <w:tblPr>
        <w:tblW w:w="9072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3"/>
        <w:gridCol w:w="6248"/>
      </w:tblGrid>
      <w:tr>
        <w:trPr/>
        <w:tc>
          <w:tcPr>
            <w:tcW w:w="2823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</w:t>
            </w:r>
            <w:r>
              <w:rPr>
                <w:rFonts w:cs="Calibri" w:ascii="Calibri" w:hAnsi="Calibri" w:asciiTheme="minorHAnsi" w:cstheme="minorHAnsi" w:hAnsiTheme="minorHAnsi"/>
              </w:rPr>
              <w:t>..</w:t>
            </w:r>
          </w:p>
        </w:tc>
        <w:tc>
          <w:tcPr>
            <w:tcW w:w="6248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………………………………………</w:t>
            </w:r>
            <w:r>
              <w:rPr>
                <w:rFonts w:cs="Calibri" w:ascii="Calibri" w:hAnsi="Calibri" w:asciiTheme="minorHAnsi" w:cstheme="minorHAnsi" w:hAnsiTheme="minorHAnsi"/>
              </w:rPr>
              <w:t>..</w:t>
            </w:r>
          </w:p>
        </w:tc>
      </w:tr>
      <w:tr>
        <w:trPr/>
        <w:tc>
          <w:tcPr>
            <w:tcW w:w="2823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i/>
              </w:rPr>
              <w:t>(miejscowość i data)</w:t>
            </w:r>
          </w:p>
        </w:tc>
        <w:tc>
          <w:tcPr>
            <w:tcW w:w="6248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i/>
              </w:rPr>
              <w:t>(podpis/y)</w:t>
            </w:r>
          </w:p>
        </w:tc>
      </w:tr>
    </w:tbl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cstheme="minorHAnsi" w:ascii="Calibri" w:hAnsi="Calibri"/>
          <w:iCs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Informacje Zamawiającego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iCs/>
        </w:rPr>
        <w:t xml:space="preserve">Zamawiający informuje, że w związku z wejściem w życie ustawy z dnia 12 kwietnia 2019 r. o zmianie ustawy o podatku od towarów i usług oraz niektórych innych ustaw (Dz. U. z 2019 r. poz. 1018 ze zm.) i zmianą treści art. 96b ustawy z dnia 11 marca 2014 r. o podatku od towarów i usług ( Dz. U. z 2018 r . poz. 2174 ze zm.) od dnia 1 września 2019 r. obowiązuje Wykaz podmiotów – zarejestrowanych jako podatnicy VAT, niezarejestrowanych oraz wykreślonych i przywróconych do rejestru VAT (tzw. „biała lista”).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iCs/>
        </w:rPr>
        <w:t xml:space="preserve">Zapłata dokonana na rachunek bankowy, który nie widnieje na „białej liście” od 1 stycznia 2020 r. może wiązać się z powstaniem różnorakich sankcji prawnych na gruncie wielu aktów normatywnych, tj. ustawy z dnia 26 lipca 1991 r. o podatku dochodowym od osób fizycznych </w:t>
      </w:r>
      <w:r>
        <w:rPr>
          <w:rFonts w:cs="Calibri" w:ascii="Calibri" w:hAnsi="Calibri" w:asciiTheme="minorHAnsi" w:cstheme="minorHAnsi" w:hAnsiTheme="minorHAnsi"/>
          <w:iCs/>
          <w:color w:val="auto"/>
        </w:rPr>
        <w:t>(t.j. Dz. U. z 2025 r. poz. 163 z późn. zm.)</w:t>
      </w:r>
      <w:r>
        <w:rPr>
          <w:rFonts w:cs="Calibri" w:ascii="Calibri" w:hAnsi="Calibri" w:asciiTheme="minorHAnsi" w:cstheme="minorHAnsi" w:hAnsiTheme="minorHAnsi"/>
          <w:iCs/>
          <w:color w:val="EE0000"/>
        </w:rPr>
        <w:t xml:space="preserve">, </w:t>
      </w:r>
      <w:r>
        <w:rPr>
          <w:rFonts w:cs="Calibri" w:ascii="Calibri" w:hAnsi="Calibri" w:asciiTheme="minorHAnsi" w:cstheme="minorHAnsi" w:hAnsiTheme="minorHAnsi"/>
          <w:iCs/>
        </w:rPr>
        <w:t xml:space="preserve">ustawy z dnia 15 lutego 1992 r. o podatku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dochodowym od osób prawnych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(t.j. Dz. U. z 2025 r. poz. 278 z późn. zm.),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ustawy z dnia 11 marca 2014 r. o podatku od towarów i usług </w:t>
      </w:r>
      <w:r>
        <w:rPr>
          <w:color w:val="auto"/>
        </w:rPr>
        <w:t xml:space="preserve"> </w:t>
      </w:r>
      <w:r>
        <w:rPr>
          <w:rFonts w:cs="Calibri" w:ascii="Calibri" w:hAnsi="Calibri" w:asciiTheme="minorHAnsi" w:cstheme="minorHAnsi" w:hAnsiTheme="minorHAnsi"/>
          <w:iCs/>
          <w:color w:val="auto"/>
        </w:rPr>
        <w:t>(t.j. Dz. U. z 2025 r. poz. 775 z późn. zm.)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, ustawy z dnia 29 sierpnia 1997 r. – Ordynacja podatkowa </w:t>
      </w:r>
      <w:r>
        <w:rPr>
          <w:rFonts w:cs="Calibri" w:ascii="Calibri" w:hAnsi="Calibri" w:asciiTheme="minorHAnsi" w:cstheme="minorHAnsi" w:hAnsiTheme="minorHAnsi"/>
          <w:iCs/>
          <w:strike/>
          <w:color w:val="auto"/>
        </w:rPr>
        <w:t xml:space="preserve">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(t.j. Dz. U. z 2025 r. poz. 111 z późn. zm.) </w:t>
      </w:r>
      <w:r>
        <w:rPr>
          <w:rFonts w:cs="Calibri" w:ascii="Calibri" w:hAnsi="Calibri" w:asciiTheme="minorHAnsi" w:cstheme="minorHAnsi" w:hAnsiTheme="minorHAnsi"/>
          <w:iCs/>
          <w:color w:val="auto"/>
        </w:rPr>
        <w:t xml:space="preserve">oraz ustawy z dnia 10 września 1999 r. – Kodeks karny skarbowy </w:t>
      </w:r>
      <w:r>
        <w:rPr>
          <w:color w:val="auto"/>
        </w:rPr>
        <w:t xml:space="preserve"> </w:t>
      </w:r>
      <w:r>
        <w:rPr>
          <w:rFonts w:cs="Calibri" w:ascii="Calibri" w:hAnsi="Calibri" w:asciiTheme="minorHAnsi" w:cstheme="minorHAnsi" w:hAnsiTheme="minorHAnsi"/>
          <w:iCs/>
          <w:color w:val="auto"/>
        </w:rPr>
        <w:t>(t.j. Dz. U. z 2025 r. poz. 633).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iCs/>
        </w:rPr>
        <w:t>W celu uniknięcia powyższych konsekwencji, Zamawiający zwraca się o weryfikację i aktu</w:t>
      </w:r>
      <w:r>
        <w:rPr>
          <w:rFonts w:cs="Calibri" w:ascii="Calibri" w:hAnsi="Calibri" w:asciiTheme="minorHAnsi" w:cstheme="minorHAnsi" w:hAnsiTheme="minorHAnsi"/>
          <w:iCs/>
          <w:color w:val="auto"/>
        </w:rPr>
        <w:t>alizację numerów rachunków bankowych Wykonawcy w wykazie, publikowanym na stronie Ministerstwa Finansów.</w:t>
      </w:r>
    </w:p>
    <w:p>
      <w:pPr>
        <w:pStyle w:val="Normal"/>
        <w:widowControl w:val="false"/>
        <w:spacing w:lineRule="auto" w:line="360"/>
        <w:jc w:val="both"/>
        <w:rPr>
          <w:color w:val="auto"/>
        </w:rPr>
      </w:pPr>
      <w:r>
        <w:rPr>
          <w:rFonts w:cs="Calibri" w:ascii="Calibri" w:hAnsi="Calibri" w:asciiTheme="minorHAnsi" w:cstheme="minorHAnsi" w:hAnsiTheme="minorHAnsi"/>
          <w:iCs/>
          <w:color w:val="auto"/>
        </w:rPr>
        <w:t>Zamawiający informuje ponadto, że w przypadku wskazania przez Wykonawcę na fakturze numeru rachunku bankowego, nieujętego na „białej liście”, Zamawiający zastrzega, że dokona zapłaty na tak podany numer rachunku bankowego z jednoczesnym zawiadomieniem o tej okoliczności Naczelnika Urzędu Skarbowego, właściwego dla Wykonawcy, w trybie i na zasadach, przewidzianych w art. 117ba ustawy z dnia 29 sierpnia 1997 r. – Ordynacja podatkowa</w:t>
      </w:r>
      <w:r>
        <w:rPr>
          <w:rFonts w:cs="Calibri" w:ascii="Calibri" w:hAnsi="Calibri" w:asciiTheme="minorHAnsi" w:cstheme="minorHAnsi" w:hAnsiTheme="minorHAnsi"/>
          <w:color w:val="auto"/>
        </w:rPr>
        <w:t xml:space="preserve"> (t.j. Dz. U. z 2025 r. poz. 111 z późn. zm.).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  <w:color w:val="auto"/>
        </w:rPr>
      </w:pPr>
      <w:r>
        <w:rPr>
          <w:rFonts w:cs="Calibri" w:cstheme="minorHAnsi" w:ascii="Calibri" w:hAnsi="Calibri"/>
          <w:b/>
          <w:bCs/>
          <w:color w:val="auto"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</w:rPr>
        <w:t xml:space="preserve">Załącznik nr </w:t>
      </w:r>
      <w:r>
        <w:rPr>
          <w:rFonts w:cs="Calibri" w:ascii="Calibri" w:hAnsi="Calibri" w:asciiTheme="minorHAnsi" w:cstheme="minorHAnsi" w:hAnsiTheme="minorHAnsi"/>
        </w:rPr>
        <w:t>B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 umowy nr ………..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widowControl w:val="false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KLAUZULA INFORMACYJNA</w:t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widowControl w:val="false"/>
        <w:spacing w:lineRule="auto" w:line="360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cstheme="minorHAnsi" w:ascii="Calibri" w:hAnsi="Calibri"/>
          <w:bCs/>
        </w:rPr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1. Administratorem danych jest Zespół Szkolno-Przedszkolny w Krzeptowie ul. W. Reymonta 1; 55-080 Krzeptów; tel. 71 715 12 34, adres e-mail: szkola@zspkrzeptow.pl. Dane przetwarzamy w celu rejestracji i archiwacji korespondencji. Przysługują Państwu prawa dostępu do danych, ich sprostowania, usunięcia i ograniczenia, które mogą być ograniczane przepisami oraz prawo skargi do organu nadzorczego. Pełne informacje o przetwarzaniu danych.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 Informacje o przetwarzaniu danych osobowych w korespondencji elektronicznej. W związku z art. 13 ust. 1 i 2 ogólnego rozporządzenia o ochronie danych osobowych (RODO) informujemy, że: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2.1. administratorem danych jest Zespół Szkolno-Przedszkolny w Krzeptowie ul. W. Reymonta 1; 55-080 Krzeptów; tel. 71 715 12 34, adres e-mail: szkola@zspkrzeptow.pl;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2.2. dane osobowe przetwarzamy w celu rejestracji oraz archiwizacji korespondencji na podstawie ciążącego na administratorze obowiązku prawnego (art. 6 ust. 1 lit. c RODO) – w związku z 6 ust. 2 ustawy o narodowym zasobie archiwalnym i archiwach;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2.3. dane przetwarzamy na podstawie ciążącego na nas obowiązku archiwizacji przyjętej korespondencji oraz ewidencji tejże korespondencji;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2.4. odbiorcą danych będzie nasz dostawca poczty elektronicznej; 2.5. dane o korespondencji będziemy przechowywać przez 5 lat od końca roku, w którym ona wpłynęła; natomiast w przedmiocie sprawy, której dotyczyła korespondencja, przez okres archiwizacji ustalany odrębne dla każdej sprawy;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2.6. przysługują Państwu prawa: żądania dostępu do danych, ich sprostowania, usunięcia i ograniczenia przetwarzania, które w stosownych przypadkach przepisy mogą ograniczyć, a także prawo wniesienia skargi do Prezesa UODO (uodo.gov.pl), jeśli sądzą Państwo, że przetwarzanie Państwa danych narusza RODO; 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2.7. w sprawach dotyczących przetwarzania danych osobowych oraz realizacji powyższych praw mogą Państwo kontaktować się z wyznaczonym inspektorem ochrony danych przez e-mail: korzuch@infoic.pl.</w:t>
      </w:r>
    </w:p>
    <w:p>
      <w:pPr>
        <w:pStyle w:val="Normal"/>
        <w:widowControl w:val="false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3. Jeżeli uznasz, że w jakikolwiek sposób naruszyliśmy reguły przetwarzania Twoich danych osobowych to masz prawo do złożenia skargi bezpośrednio do organu nadzoru (Prezesa Urzędu Ochrony Danych Osobowych, ul. Stawki 2, 00-193 Warszawa, tel. 22 531-03-00, e-mail: iod@uodo.gov.pl, www.uodo.gov.pl).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zCs w:val="24"/>
        <w:iCs w:val="false"/>
        <w:bCs w:val="false"/>
        <w:w w:val="100"/>
        <w:rFonts w:ascii="Calibri" w:hAnsi="Calibri" w:eastAsia="Arial" w:cs="Calibri"/>
        <w:color w:val="000000"/>
        <w:lang w:val="pl-PL" w:eastAsia="pl-PL" w:bidi="pl-PL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515" w:hanging="515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kern w:val="0"/>
        <w:w w:val="100"/>
        <w:color w:val="00000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426" w:hanging="426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szCs w:val="20"/>
        <w:w w:val="100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6" w:hanging="426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kern w:val="0"/>
        <w:szCs w:val="20"/>
        <w:w w:val="100"/>
        <w:color w:val="000000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993" w:hanging="284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08" w:hanging="708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708" w:hanging="708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708" w:hanging="708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8" w:hanging="708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  <w:lvl w:ilvl="8">
      <w:start w:val="1"/>
      <w:numFmt w:val="lowerLetter"/>
      <w:lvlText w:val="%9."/>
      <w:lvlJc w:val="left"/>
      <w:pPr>
        <w:tabs>
          <w:tab w:val="num" w:pos="0"/>
        </w:tabs>
        <w:ind w:left="708" w:hanging="708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rFonts w:ascii="Calibri" w:hAnsi="Calibri" w:eastAsia="Calibri" w:cs="Calibri"/>
        <w:color w:val="000000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5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pPr>
      <w:keepNext w:val="true"/>
      <w:numPr>
        <w:ilvl w:val="0"/>
        <w:numId w:val="1"/>
      </w:numPr>
      <w:outlineLvl w:val="0"/>
    </w:pPr>
    <w:rPr>
      <w:b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Pr>
      <w:sz w:val="16"/>
      <w:szCs w:val="16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Czeinternetowe">
    <w:name w:val="Łącze internetowe"/>
    <w:uiPriority w:val="99"/>
    <w:semiHidden/>
    <w:qFormat/>
    <w:rPr>
      <w:rFonts w:cs="Times New Roman"/>
      <w:color w:val="0000FF"/>
      <w:u w:val="single"/>
    </w:rPr>
  </w:style>
  <w:style w:type="character" w:styleId="Nagwek1Znak" w:customStyle="1">
    <w:name w:val="Nagłówek 1 Znak"/>
    <w:link w:val="Nagwek1"/>
    <w:qFormat/>
    <w:rPr>
      <w:b/>
      <w:sz w:val="24"/>
      <w:szCs w:val="24"/>
    </w:rPr>
  </w:style>
  <w:style w:type="character" w:styleId="Nagwek4Znak" w:customStyle="1">
    <w:name w:val="Nagłówek 4 Znak"/>
    <w:link w:val="Nagwek4"/>
    <w:uiPriority w:val="9"/>
    <w:semiHidden/>
    <w:qFormat/>
    <w:rPr>
      <w:rFonts w:ascii="Calibri" w:hAnsi="Calibri"/>
      <w:b/>
      <w:bCs/>
      <w:sz w:val="28"/>
      <w:szCs w:val="28"/>
    </w:rPr>
  </w:style>
  <w:style w:type="character" w:styleId="NagwekZnak" w:customStyle="1">
    <w:name w:val="Nagłówek Znak"/>
    <w:link w:val="Nagwek"/>
    <w:qFormat/>
    <w:rPr>
      <w:sz w:val="24"/>
      <w:szCs w:val="24"/>
    </w:rPr>
  </w:style>
  <w:style w:type="character" w:styleId="TekstpodstawowyZnak" w:customStyle="1">
    <w:name w:val="Tekst podstawowy Znak"/>
    <w:link w:val="Tekstpodstawowy"/>
    <w:semiHidden/>
    <w:qFormat/>
    <w:rPr>
      <w:rFonts w:ascii="Arial Narrow" w:hAnsi="Arial Narrow"/>
    </w:rPr>
  </w:style>
  <w:style w:type="character" w:styleId="StopkaZnak" w:customStyle="1">
    <w:name w:val="Stopka Znak"/>
    <w:link w:val="Stopka"/>
    <w:uiPriority w:val="99"/>
    <w:qFormat/>
    <w:rPr>
      <w:sz w:val="24"/>
      <w:szCs w:val="24"/>
    </w:rPr>
  </w:style>
  <w:style w:type="character" w:styleId="ZwykytekstZnak" w:customStyle="1">
    <w:name w:val="Zwykły tekst Znak"/>
    <w:link w:val="Zwykytekst"/>
    <w:semiHidden/>
    <w:qFormat/>
    <w:rPr>
      <w:rFonts w:ascii="Verdana" w:hAnsi="Verdana"/>
      <w:sz w:val="24"/>
    </w:rPr>
  </w:style>
  <w:style w:type="character" w:styleId="TytuZnak" w:customStyle="1">
    <w:name w:val="Tytuł Znak"/>
    <w:link w:val="Tytu"/>
    <w:uiPriority w:val="99"/>
    <w:qFormat/>
    <w:rPr>
      <w:b/>
      <w:bCs/>
      <w:sz w:val="24"/>
      <w:szCs w:val="24"/>
      <w:lang w:eastAsia="zh-CN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Pr/>
  </w:style>
  <w:style w:type="character" w:styleId="TematkomentarzaZnak" w:customStyle="1">
    <w:name w:val="Temat komentarza Znak"/>
    <w:link w:val="Tematkomentarza"/>
    <w:uiPriority w:val="99"/>
    <w:semiHidden/>
    <w:qFormat/>
    <w:rPr>
      <w:b/>
      <w:bCs/>
    </w:rPr>
  </w:style>
  <w:style w:type="character" w:styleId="TekstdymkaZnak" w:customStyle="1">
    <w:name w:val="Tekst dymka Znak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qFormat/>
    <w:locked/>
    <w:rPr>
      <w:lang w:eastAsia="ar-SA"/>
    </w:rPr>
  </w:style>
  <w:style w:type="character" w:styleId="Bodytext2" w:customStyle="1">
    <w:name w:val="Body text (2)_"/>
    <w:link w:val="Bodytext20"/>
    <w:qFormat/>
    <w:locked/>
    <w:rPr>
      <w:shd w:fill="FFFFFF" w:val="clear"/>
    </w:rPr>
  </w:style>
  <w:style w:type="character" w:styleId="Bodytext3" w:customStyle="1">
    <w:name w:val="Body text (3)_"/>
    <w:link w:val="Bodytext30"/>
    <w:qFormat/>
    <w:locked/>
    <w:rPr>
      <w:rFonts w:ascii="Arial" w:hAnsi="Arial" w:eastAsia="Arial" w:cs="Arial"/>
      <w:b/>
      <w:bCs/>
      <w:shd w:fill="FFFFFF" w:val="clear"/>
    </w:rPr>
  </w:style>
  <w:style w:type="character" w:styleId="Ngbinding" w:customStyle="1">
    <w:name w:val="ng-binding"/>
    <w:qFormat/>
    <w:rPr/>
  </w:style>
  <w:style w:type="character" w:styleId="Ngscope" w:customStyle="1">
    <w:name w:val="ng-scope"/>
    <w:qFormat/>
    <w:rPr/>
  </w:style>
  <w:style w:type="character" w:styleId="TekstprzypisudolnegoZnak" w:customStyle="1">
    <w:name w:val="Tekst przypisu dolnego Znak"/>
    <w:link w:val="Tekstprzypisudolnego"/>
    <w:uiPriority w:val="99"/>
    <w:semiHidden/>
    <w:qFormat/>
    <w:rPr>
      <w:rFonts w:ascii="Verdana" w:hAnsi="Verdana" w:cs="Verdana"/>
    </w:rPr>
  </w:style>
  <w:style w:type="character" w:styleId="Markedcontent" w:customStyle="1">
    <w:name w:val="markedcontent"/>
    <w:basedOn w:val="DefaultParagraphFont"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pPr>
      <w:jc w:val="both"/>
    </w:pPr>
    <w:rPr>
      <w:rFonts w:ascii="Arial Narrow" w:hAnsi="Arial Narrow"/>
      <w:sz w:val="20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pPr/>
    <w:rPr>
      <w:b/>
      <w:bCs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pPr/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semiHidden/>
    <w:pPr>
      <w:jc w:val="both"/>
    </w:pPr>
    <w:rPr>
      <w:rFonts w:ascii="Verdana" w:hAnsi="Verdana"/>
      <w:sz w:val="20"/>
      <w:szCs w:val="20"/>
    </w:rPr>
  </w:style>
  <w:style w:type="paragraph" w:styleId="Gwka">
    <w:name w:val="Header"/>
    <w:basedOn w:val="Normal"/>
    <w:link w:val="NagwekZnak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link w:val="ZwykytekstZnak"/>
    <w:semiHidden/>
    <w:qFormat/>
    <w:pPr>
      <w:jc w:val="both"/>
    </w:pPr>
    <w:rPr>
      <w:rFonts w:ascii="Verdana" w:hAnsi="Verdana"/>
      <w:szCs w:val="20"/>
    </w:rPr>
  </w:style>
  <w:style w:type="paragraph" w:styleId="Tytu">
    <w:name w:val="Title"/>
    <w:basedOn w:val="Normal"/>
    <w:link w:val="TytuZnak"/>
    <w:uiPriority w:val="99"/>
    <w:qFormat/>
    <w:pPr>
      <w:jc w:val="center"/>
    </w:pPr>
    <w:rPr>
      <w:b/>
      <w:bCs/>
      <w:lang w:eastAsia="zh-CN"/>
    </w:rPr>
  </w:style>
  <w:style w:type="paragraph" w:styleId="Akapitzlist1" w:customStyle="1">
    <w:name w:val="Akapit z listą1"/>
    <w:basedOn w:val="Normal"/>
    <w:qFormat/>
    <w:pPr>
      <w:spacing w:before="0" w:after="120"/>
      <w:ind w:left="720" w:hanging="0"/>
      <w:contextualSpacing/>
    </w:pPr>
    <w:rPr>
      <w:rFonts w:eastAsia="Calibri"/>
      <w:sz w:val="22"/>
      <w:szCs w:val="22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en-US" w:val="pl-PL" w:bidi="ar-SA"/>
    </w:rPr>
  </w:style>
  <w:style w:type="paragraph" w:styleId="ListParagraph">
    <w:name w:val="List Paragraph"/>
    <w:basedOn w:val="Normal"/>
    <w:link w:val="AkapitzlistZnak"/>
    <w:uiPriority w:val="34"/>
    <w:qFormat/>
    <w:pPr>
      <w:suppressAutoHyphens w:val="true"/>
      <w:ind w:left="708" w:hanging="0"/>
    </w:pPr>
    <w:rPr>
      <w:sz w:val="20"/>
      <w:szCs w:val="20"/>
      <w:lang w:eastAsia="ar-SA"/>
    </w:rPr>
  </w:style>
  <w:style w:type="paragraph" w:styleId="Bodytext21" w:customStyle="1">
    <w:name w:val="Body text (2)"/>
    <w:basedOn w:val="Normal"/>
    <w:link w:val="Bodytext2"/>
    <w:qFormat/>
    <w:pPr>
      <w:widowControl w:val="false"/>
      <w:shd w:val="clear" w:color="auto" w:fill="FFFFFF"/>
      <w:spacing w:lineRule="exact" w:line="274"/>
      <w:ind w:hanging="620"/>
      <w:jc w:val="center"/>
    </w:pPr>
    <w:rPr>
      <w:sz w:val="20"/>
      <w:szCs w:val="20"/>
    </w:rPr>
  </w:style>
  <w:style w:type="paragraph" w:styleId="Bodytext31" w:customStyle="1">
    <w:name w:val="Body text (3)"/>
    <w:basedOn w:val="Normal"/>
    <w:link w:val="Bodytext3"/>
    <w:qFormat/>
    <w:pPr>
      <w:widowControl w:val="false"/>
      <w:shd w:val="clear" w:color="auto" w:fill="FFFFFF"/>
      <w:spacing w:lineRule="exact" w:line="235" w:before="340" w:after="80"/>
      <w:ind w:hanging="400"/>
    </w:pPr>
    <w:rPr>
      <w:rFonts w:ascii="Arial" w:hAnsi="Arial" w:eastAsia="Arial"/>
      <w:b/>
      <w:bCs/>
      <w:sz w:val="20"/>
      <w:szCs w:val="20"/>
    </w:rPr>
  </w:style>
  <w:style w:type="paragraph" w:styleId="Punkt" w:customStyle="1">
    <w:name w:val="Punkt"/>
    <w:basedOn w:val="Tretekstu"/>
    <w:qFormat/>
    <w:pPr>
      <w:suppressAutoHyphens w:val="true"/>
      <w:spacing w:before="0" w:after="160"/>
      <w:textAlignment w:val="baseline"/>
    </w:pPr>
    <w:rPr>
      <w:rFonts w:ascii="Tahoma" w:hAnsi="Tahoma"/>
      <w:szCs w:val="24"/>
    </w:rPr>
  </w:style>
  <w:style w:type="paragraph" w:styleId="Tekstpodstawowy31" w:customStyle="1">
    <w:name w:val="Tekst podstawowy 31"/>
    <w:basedOn w:val="Normal"/>
    <w:qFormat/>
    <w:pPr>
      <w:suppressAutoHyphens w:val="true"/>
      <w:jc w:val="both"/>
    </w:pPr>
    <w:rPr>
      <w:lang w:eastAsia="ar-SA"/>
    </w:rPr>
  </w:style>
  <w:style w:type="paragraph" w:styleId="Style42" w:customStyle="1">
    <w:name w:val="_Style 42"/>
    <w:uiPriority w:val="99"/>
    <w:semiHidden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LibreOffice/7.0.2.2$Windows_X86_64 LibreOffice_project/8349ace3c3162073abd90d81fd06dcfb6b36b994</Application>
  <Pages>16</Pages>
  <Words>3817</Words>
  <Characters>23555</Characters>
  <CharactersWithSpaces>27153</CharactersWithSpaces>
  <Paragraphs>182</Paragraphs>
  <Company>Centrum Usług Informatycznych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2024-11-25T19:35:00Z</dcterms:created>
  <dc:creator>ML</dc:creator>
  <dc:description/>
  <dc:language>pl-PL</dc:language>
  <cp:lastModifiedBy/>
  <cp:lastPrinted>2024-02-29T08:58:00Z</cp:lastPrinted>
  <dcterms:modified xsi:type="dcterms:W3CDTF">2025-11-27T21:27:30Z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Centrum Usług Informatycznych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1800486F8D6147A3928BDCFF1DC7A435_13</vt:lpwstr>
  </property>
  <property fmtid="{D5CDD505-2E9C-101B-9397-08002B2CF9AE}" pid="7" name="KSOProductBuildVer">
    <vt:lpwstr>1045-12.2.0.22549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